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928DC" w14:textId="77777777" w:rsidR="00AB0469" w:rsidRDefault="007F5279">
      <w:pPr>
        <w:spacing w:after="259" w:line="259" w:lineRule="auto"/>
        <w:ind w:left="1882" w:right="1478" w:hanging="10"/>
        <w:jc w:val="center"/>
      </w:pPr>
      <w:r>
        <w:rPr>
          <w:sz w:val="24"/>
        </w:rPr>
        <w:t>ADVERTISEMENT for BIDS</w:t>
      </w:r>
    </w:p>
    <w:p w14:paraId="4EF15D5B" w14:textId="77777777" w:rsidR="00AB0469" w:rsidRDefault="007F5279">
      <w:pPr>
        <w:spacing w:after="0" w:line="259" w:lineRule="auto"/>
        <w:ind w:left="1882" w:right="811" w:hanging="10"/>
        <w:jc w:val="center"/>
      </w:pPr>
      <w:r>
        <w:rPr>
          <w:sz w:val="24"/>
        </w:rPr>
        <w:t>TOWN OF CHESTERFIELD, South Carolina</w:t>
      </w:r>
    </w:p>
    <w:p w14:paraId="1C97594E" w14:textId="77777777" w:rsidR="00AB0469" w:rsidRDefault="007F5279">
      <w:pPr>
        <w:spacing w:after="385" w:line="259" w:lineRule="auto"/>
        <w:ind w:left="1882" w:right="811" w:hanging="10"/>
        <w:jc w:val="center"/>
      </w:pPr>
      <w:r>
        <w:rPr>
          <w:sz w:val="24"/>
        </w:rPr>
        <w:t>Gravity Sewer I &amp; I Study and Pump Station Standby Generators SRF Project No. 485-01</w:t>
      </w:r>
    </w:p>
    <w:p w14:paraId="7549D8BA" w14:textId="77777777" w:rsidR="00AB0469" w:rsidRDefault="007F5279">
      <w:pPr>
        <w:ind w:left="158"/>
      </w:pPr>
      <w:r>
        <w:t>The Town of Chesterfield (Owner) is requesting Bids for the construction of the following Projects:</w:t>
      </w:r>
    </w:p>
    <w:tbl>
      <w:tblPr>
        <w:tblStyle w:val="TableGrid"/>
        <w:tblW w:w="5616" w:type="dxa"/>
        <w:tblInd w:w="2957" w:type="dxa"/>
        <w:tblCellMar>
          <w:top w:w="1" w:type="dxa"/>
          <w:left w:w="0" w:type="dxa"/>
          <w:bottom w:w="0" w:type="dxa"/>
          <w:right w:w="0" w:type="dxa"/>
        </w:tblCellMar>
        <w:tblLook w:val="04A0" w:firstRow="1" w:lastRow="0" w:firstColumn="1" w:lastColumn="0" w:noHBand="0" w:noVBand="1"/>
      </w:tblPr>
      <w:tblGrid>
        <w:gridCol w:w="1387"/>
        <w:gridCol w:w="4229"/>
      </w:tblGrid>
      <w:tr w:rsidR="00AB0469" w14:paraId="148643B5" w14:textId="77777777">
        <w:trPr>
          <w:trHeight w:val="531"/>
        </w:trPr>
        <w:tc>
          <w:tcPr>
            <w:tcW w:w="1387" w:type="dxa"/>
            <w:tcBorders>
              <w:top w:val="nil"/>
              <w:left w:val="nil"/>
              <w:bottom w:val="nil"/>
              <w:right w:val="nil"/>
            </w:tcBorders>
          </w:tcPr>
          <w:p w14:paraId="2D0C5E25" w14:textId="77777777" w:rsidR="00AB0469" w:rsidRDefault="007F5279">
            <w:pPr>
              <w:spacing w:after="0" w:line="259" w:lineRule="auto"/>
              <w:ind w:left="43" w:firstLine="0"/>
              <w:jc w:val="left"/>
            </w:pPr>
            <w:r>
              <w:t>Contract 1:</w:t>
            </w:r>
          </w:p>
        </w:tc>
        <w:tc>
          <w:tcPr>
            <w:tcW w:w="4229" w:type="dxa"/>
            <w:tcBorders>
              <w:top w:val="nil"/>
              <w:left w:val="nil"/>
              <w:bottom w:val="nil"/>
              <w:right w:val="nil"/>
            </w:tcBorders>
          </w:tcPr>
          <w:p w14:paraId="4E846D9C" w14:textId="77777777" w:rsidR="00AB0469" w:rsidRDefault="007F5279">
            <w:pPr>
              <w:tabs>
                <w:tab w:val="center" w:pos="1877"/>
              </w:tabs>
              <w:spacing w:after="0" w:line="259" w:lineRule="auto"/>
              <w:ind w:left="0" w:firstLine="0"/>
              <w:jc w:val="left"/>
            </w:pPr>
            <w:r>
              <w:t xml:space="preserve">Gravity Sewer </w:t>
            </w:r>
            <w:r>
              <w:tab/>
              <w:t>Study</w:t>
            </w:r>
          </w:p>
          <w:p w14:paraId="496DCE0A" w14:textId="77777777" w:rsidR="00AB0469" w:rsidRDefault="007F5279">
            <w:pPr>
              <w:spacing w:after="0" w:line="259" w:lineRule="auto"/>
              <w:ind w:left="72" w:firstLine="0"/>
              <w:jc w:val="left"/>
            </w:pPr>
            <w:r>
              <w:t>SRF No. 485-01</w:t>
            </w:r>
          </w:p>
        </w:tc>
      </w:tr>
      <w:tr w:rsidR="00AB0469" w14:paraId="6040C4FB" w14:textId="77777777">
        <w:trPr>
          <w:trHeight w:val="526"/>
        </w:trPr>
        <w:tc>
          <w:tcPr>
            <w:tcW w:w="1387" w:type="dxa"/>
            <w:tcBorders>
              <w:top w:val="nil"/>
              <w:left w:val="nil"/>
              <w:bottom w:val="nil"/>
              <w:right w:val="nil"/>
            </w:tcBorders>
          </w:tcPr>
          <w:p w14:paraId="7DE023B5" w14:textId="77777777" w:rsidR="00AB0469" w:rsidRDefault="007F5279">
            <w:pPr>
              <w:spacing w:after="0" w:line="259" w:lineRule="auto"/>
              <w:ind w:left="0" w:firstLine="0"/>
              <w:jc w:val="left"/>
            </w:pPr>
            <w:r>
              <w:t>Contract 2:</w:t>
            </w:r>
          </w:p>
        </w:tc>
        <w:tc>
          <w:tcPr>
            <w:tcW w:w="4229" w:type="dxa"/>
            <w:tcBorders>
              <w:top w:val="nil"/>
              <w:left w:val="nil"/>
              <w:bottom w:val="nil"/>
              <w:right w:val="nil"/>
            </w:tcBorders>
            <w:vAlign w:val="bottom"/>
          </w:tcPr>
          <w:p w14:paraId="1AC6D65C" w14:textId="77777777" w:rsidR="00AB0469" w:rsidRDefault="007F5279">
            <w:pPr>
              <w:spacing w:after="0" w:line="259" w:lineRule="auto"/>
              <w:ind w:left="0" w:firstLine="0"/>
            </w:pPr>
            <w:r>
              <w:t>Emergency Standby Propane Generators w/ ATS</w:t>
            </w:r>
          </w:p>
          <w:p w14:paraId="591A47C9" w14:textId="77777777" w:rsidR="00AB0469" w:rsidRDefault="007F5279">
            <w:pPr>
              <w:spacing w:after="0" w:line="259" w:lineRule="auto"/>
              <w:ind w:left="62" w:firstLine="0"/>
              <w:jc w:val="left"/>
            </w:pPr>
            <w:r>
              <w:t>SRF No. 485-01</w:t>
            </w:r>
          </w:p>
        </w:tc>
      </w:tr>
    </w:tbl>
    <w:p w14:paraId="2FD1BEA8" w14:textId="77777777" w:rsidR="00AB0469" w:rsidRDefault="007F5279">
      <w:pPr>
        <w:spacing w:after="220"/>
        <w:ind w:left="158" w:right="82"/>
      </w:pPr>
      <w:r>
        <w:t xml:space="preserve">Bids for the Projects will be received at the Town of Chesterfield Town Hall located at Olde Towne Centre, • 112 Main Street, • Chesterfield, SC 29709, </w:t>
      </w:r>
      <w:r>
        <w:rPr>
          <w:u w:val="single" w:color="000000"/>
        </w:rPr>
        <w:t>until August 25, 2022, at 2:00 pm local time</w:t>
      </w:r>
      <w:r>
        <w:t>. At that time the Bids received will be "</w:t>
      </w:r>
      <w:proofErr w:type="spellStart"/>
      <w:r>
        <w:t>publicM</w:t>
      </w:r>
      <w:proofErr w:type="spellEnd"/>
      <w:r>
        <w:t>' opened an</w:t>
      </w:r>
      <w:r>
        <w:t>d read.</w:t>
      </w:r>
    </w:p>
    <w:p w14:paraId="1C8BF4F8" w14:textId="77777777" w:rsidR="00AB0469" w:rsidRDefault="007F5279">
      <w:pPr>
        <w:spacing w:after="179"/>
        <w:ind w:left="158"/>
      </w:pPr>
      <w:r>
        <w:t>The Projects includes the following Work:</w:t>
      </w:r>
    </w:p>
    <w:p w14:paraId="4041A1F0" w14:textId="77777777" w:rsidR="00AB0469" w:rsidRDefault="007F5279">
      <w:pPr>
        <w:tabs>
          <w:tab w:val="center" w:pos="1349"/>
          <w:tab w:val="center" w:pos="4471"/>
        </w:tabs>
        <w:ind w:left="0" w:firstLine="0"/>
        <w:jc w:val="left"/>
      </w:pPr>
      <w:r>
        <w:tab/>
        <w:t>Contract 1:</w:t>
      </w:r>
      <w:r>
        <w:tab/>
        <w:t>Conduct a Study of the Gravity Sewer System using:</w:t>
      </w:r>
    </w:p>
    <w:tbl>
      <w:tblPr>
        <w:tblStyle w:val="TableGrid"/>
        <w:tblW w:w="3922" w:type="dxa"/>
        <w:tblInd w:w="3125" w:type="dxa"/>
        <w:tblCellMar>
          <w:top w:w="95" w:type="dxa"/>
          <w:left w:w="86" w:type="dxa"/>
          <w:bottom w:w="0" w:type="dxa"/>
          <w:right w:w="115" w:type="dxa"/>
        </w:tblCellMar>
        <w:tblLook w:val="04A0" w:firstRow="1" w:lastRow="0" w:firstColumn="1" w:lastColumn="0" w:noHBand="0" w:noVBand="1"/>
      </w:tblPr>
      <w:tblGrid>
        <w:gridCol w:w="3922"/>
      </w:tblGrid>
      <w:tr w:rsidR="00AB0469" w14:paraId="42ACC346" w14:textId="77777777">
        <w:trPr>
          <w:trHeight w:val="312"/>
        </w:trPr>
        <w:tc>
          <w:tcPr>
            <w:tcW w:w="3922" w:type="dxa"/>
            <w:tcBorders>
              <w:top w:val="single" w:sz="2" w:space="0" w:color="000000"/>
              <w:left w:val="single" w:sz="2" w:space="0" w:color="000000"/>
              <w:bottom w:val="single" w:sz="2" w:space="0" w:color="000000"/>
              <w:right w:val="single" w:sz="2" w:space="0" w:color="000000"/>
            </w:tcBorders>
          </w:tcPr>
          <w:p w14:paraId="30EE57D8" w14:textId="77777777" w:rsidR="00AB0469" w:rsidRDefault="007F5279">
            <w:pPr>
              <w:spacing w:after="0" w:line="259" w:lineRule="auto"/>
              <w:ind w:left="48" w:firstLine="0"/>
              <w:jc w:val="left"/>
            </w:pPr>
            <w:r>
              <w:t>I-Tracker Flow Tracking Technology</w:t>
            </w:r>
          </w:p>
        </w:tc>
      </w:tr>
      <w:tr w:rsidR="00AB0469" w14:paraId="4B9C444D" w14:textId="77777777">
        <w:trPr>
          <w:trHeight w:val="310"/>
        </w:trPr>
        <w:tc>
          <w:tcPr>
            <w:tcW w:w="3922" w:type="dxa"/>
            <w:tcBorders>
              <w:top w:val="single" w:sz="2" w:space="0" w:color="000000"/>
              <w:left w:val="single" w:sz="2" w:space="0" w:color="000000"/>
              <w:bottom w:val="single" w:sz="2" w:space="0" w:color="000000"/>
              <w:right w:val="single" w:sz="2" w:space="0" w:color="000000"/>
            </w:tcBorders>
          </w:tcPr>
          <w:p w14:paraId="78CC2B0B" w14:textId="77777777" w:rsidR="00AB0469" w:rsidRDefault="007F5279">
            <w:pPr>
              <w:spacing w:after="0" w:line="259" w:lineRule="auto"/>
              <w:ind w:left="43" w:firstLine="0"/>
              <w:jc w:val="left"/>
            </w:pPr>
            <w:r>
              <w:t>MACP Level 2 Manhole Inspection</w:t>
            </w:r>
          </w:p>
        </w:tc>
      </w:tr>
      <w:tr w:rsidR="00AB0469" w14:paraId="0760721A" w14:textId="77777777">
        <w:trPr>
          <w:trHeight w:val="312"/>
        </w:trPr>
        <w:tc>
          <w:tcPr>
            <w:tcW w:w="3922" w:type="dxa"/>
            <w:tcBorders>
              <w:top w:val="single" w:sz="2" w:space="0" w:color="000000"/>
              <w:left w:val="single" w:sz="2" w:space="0" w:color="000000"/>
              <w:bottom w:val="single" w:sz="2" w:space="0" w:color="000000"/>
              <w:right w:val="single" w:sz="2" w:space="0" w:color="000000"/>
            </w:tcBorders>
          </w:tcPr>
          <w:p w14:paraId="44F508D3" w14:textId="77777777" w:rsidR="00AB0469" w:rsidRDefault="007F5279">
            <w:pPr>
              <w:spacing w:after="0" w:line="259" w:lineRule="auto"/>
              <w:ind w:left="34" w:firstLine="0"/>
              <w:jc w:val="left"/>
            </w:pPr>
            <w:r>
              <w:t>GPS Manhole Coordinates &amp; Information</w:t>
            </w:r>
          </w:p>
        </w:tc>
      </w:tr>
      <w:tr w:rsidR="00AB0469" w14:paraId="76628A1B" w14:textId="77777777">
        <w:trPr>
          <w:trHeight w:val="312"/>
        </w:trPr>
        <w:tc>
          <w:tcPr>
            <w:tcW w:w="3922" w:type="dxa"/>
            <w:tcBorders>
              <w:top w:val="single" w:sz="2" w:space="0" w:color="000000"/>
              <w:left w:val="single" w:sz="2" w:space="0" w:color="000000"/>
              <w:bottom w:val="single" w:sz="2" w:space="0" w:color="000000"/>
              <w:right w:val="single" w:sz="2" w:space="0" w:color="000000"/>
            </w:tcBorders>
          </w:tcPr>
          <w:p w14:paraId="1A06150E" w14:textId="77777777" w:rsidR="00AB0469" w:rsidRDefault="007F5279">
            <w:pPr>
              <w:spacing w:after="0" w:line="259" w:lineRule="auto"/>
              <w:ind w:left="19" w:firstLine="0"/>
              <w:jc w:val="left"/>
            </w:pPr>
            <w:r>
              <w:t>Smoke Testing</w:t>
            </w:r>
          </w:p>
        </w:tc>
      </w:tr>
      <w:tr w:rsidR="00AB0469" w14:paraId="213B7B5B" w14:textId="77777777">
        <w:trPr>
          <w:trHeight w:val="312"/>
        </w:trPr>
        <w:tc>
          <w:tcPr>
            <w:tcW w:w="3922" w:type="dxa"/>
            <w:tcBorders>
              <w:top w:val="single" w:sz="2" w:space="0" w:color="000000"/>
              <w:left w:val="single" w:sz="2" w:space="0" w:color="000000"/>
              <w:bottom w:val="single" w:sz="2" w:space="0" w:color="000000"/>
              <w:right w:val="single" w:sz="2" w:space="0" w:color="000000"/>
            </w:tcBorders>
          </w:tcPr>
          <w:p w14:paraId="3D592DB6" w14:textId="77777777" w:rsidR="00AB0469" w:rsidRDefault="007F5279">
            <w:pPr>
              <w:spacing w:after="0" w:line="259" w:lineRule="auto"/>
              <w:ind w:left="14" w:firstLine="0"/>
              <w:jc w:val="left"/>
            </w:pPr>
            <w:r>
              <w:t>Cleaning &amp; CCTV Inspection</w:t>
            </w:r>
          </w:p>
        </w:tc>
      </w:tr>
      <w:tr w:rsidR="00AB0469" w14:paraId="266BA2BD" w14:textId="77777777">
        <w:trPr>
          <w:trHeight w:val="323"/>
        </w:trPr>
        <w:tc>
          <w:tcPr>
            <w:tcW w:w="3922" w:type="dxa"/>
            <w:tcBorders>
              <w:top w:val="single" w:sz="2" w:space="0" w:color="000000"/>
              <w:left w:val="single" w:sz="2" w:space="0" w:color="000000"/>
              <w:bottom w:val="single" w:sz="2" w:space="0" w:color="000000"/>
              <w:right w:val="single" w:sz="2" w:space="0" w:color="000000"/>
            </w:tcBorders>
          </w:tcPr>
          <w:p w14:paraId="01F81C8B" w14:textId="77777777" w:rsidR="00AB0469" w:rsidRDefault="007F5279">
            <w:pPr>
              <w:spacing w:after="0" w:line="259" w:lineRule="auto"/>
              <w:ind w:left="0" w:firstLine="0"/>
              <w:jc w:val="left"/>
            </w:pPr>
            <w:r>
              <w:t>Assessment Report &amp; GPS Mapping</w:t>
            </w:r>
          </w:p>
        </w:tc>
      </w:tr>
    </w:tbl>
    <w:p w14:paraId="0A4F06E1" w14:textId="77777777" w:rsidR="00AB0469" w:rsidRDefault="007F5279">
      <w:pPr>
        <w:tabs>
          <w:tab w:val="center" w:pos="1296"/>
          <w:tab w:val="center" w:pos="5568"/>
        </w:tabs>
        <w:spacing w:after="0" w:line="259" w:lineRule="auto"/>
        <w:ind w:left="0" w:firstLine="0"/>
        <w:jc w:val="left"/>
      </w:pPr>
      <w:r>
        <w:tab/>
        <w:t>Contract 2:</w:t>
      </w:r>
      <w:r>
        <w:tab/>
        <w:t>Provide and Install Standby propane fueled generators w/ Automatic Transfer</w:t>
      </w:r>
    </w:p>
    <w:p w14:paraId="14C7A488" w14:textId="77777777" w:rsidR="00AB0469" w:rsidRDefault="007F5279">
      <w:pPr>
        <w:spacing w:after="95"/>
        <w:ind w:left="2203"/>
      </w:pPr>
      <w:r>
        <w:t>Switches at:</w:t>
      </w:r>
    </w:p>
    <w:p w14:paraId="49FFB120" w14:textId="77777777" w:rsidR="00AB0469" w:rsidRDefault="007F5279">
      <w:pPr>
        <w:numPr>
          <w:ilvl w:val="0"/>
          <w:numId w:val="1"/>
        </w:numPr>
        <w:spacing w:after="0" w:line="265" w:lineRule="auto"/>
        <w:ind w:right="1627" w:hanging="355"/>
        <w:jc w:val="left"/>
      </w:pPr>
      <w:r>
        <w:rPr>
          <w:sz w:val="24"/>
        </w:rPr>
        <w:t>County Jail Sewer Pump Station</w:t>
      </w:r>
    </w:p>
    <w:p w14:paraId="713AE98B" w14:textId="77777777" w:rsidR="00AB0469" w:rsidRDefault="007F5279">
      <w:pPr>
        <w:numPr>
          <w:ilvl w:val="0"/>
          <w:numId w:val="1"/>
        </w:numPr>
        <w:spacing w:after="63" w:line="259" w:lineRule="auto"/>
        <w:ind w:right="1627" w:hanging="355"/>
        <w:jc w:val="left"/>
      </w:pPr>
      <w:r>
        <w:rPr>
          <w:sz w:val="24"/>
        </w:rPr>
        <w:t>Chesterfield/Ruby Middle School Sewer Pump Station</w:t>
      </w:r>
    </w:p>
    <w:p w14:paraId="7C1E804A" w14:textId="77777777" w:rsidR="00AB0469" w:rsidRDefault="007F5279">
      <w:pPr>
        <w:ind w:left="91"/>
      </w:pPr>
      <w:r>
        <w:t>Separate Bids will be received for the following Contracts:</w:t>
      </w:r>
    </w:p>
    <w:tbl>
      <w:tblPr>
        <w:tblStyle w:val="TableGrid"/>
        <w:tblW w:w="7448" w:type="dxa"/>
        <w:tblInd w:w="768" w:type="dxa"/>
        <w:tblCellMar>
          <w:top w:w="19" w:type="dxa"/>
          <w:left w:w="101" w:type="dxa"/>
          <w:bottom w:w="0" w:type="dxa"/>
          <w:right w:w="115" w:type="dxa"/>
        </w:tblCellMar>
        <w:tblLook w:val="04A0" w:firstRow="1" w:lastRow="0" w:firstColumn="1" w:lastColumn="0" w:noHBand="0" w:noVBand="1"/>
      </w:tblPr>
      <w:tblGrid>
        <w:gridCol w:w="1104"/>
        <w:gridCol w:w="6344"/>
      </w:tblGrid>
      <w:tr w:rsidR="00AB0469" w14:paraId="54E74FB3" w14:textId="77777777">
        <w:trPr>
          <w:trHeight w:val="482"/>
        </w:trPr>
        <w:tc>
          <w:tcPr>
            <w:tcW w:w="1104" w:type="dxa"/>
            <w:tcBorders>
              <w:top w:val="single" w:sz="2" w:space="0" w:color="000000"/>
              <w:left w:val="single" w:sz="2" w:space="0" w:color="000000"/>
              <w:bottom w:val="single" w:sz="2" w:space="0" w:color="000000"/>
              <w:right w:val="single" w:sz="2" w:space="0" w:color="000000"/>
            </w:tcBorders>
          </w:tcPr>
          <w:p w14:paraId="392C8E65" w14:textId="77777777" w:rsidR="00AB0469" w:rsidRDefault="007F5279">
            <w:pPr>
              <w:spacing w:after="0" w:line="259" w:lineRule="auto"/>
              <w:ind w:left="0" w:firstLine="0"/>
              <w:jc w:val="center"/>
            </w:pPr>
            <w:r>
              <w:rPr>
                <w:sz w:val="20"/>
              </w:rPr>
              <w:t xml:space="preserve">Contract </w:t>
            </w:r>
            <w:r>
              <w:rPr>
                <w:sz w:val="20"/>
              </w:rPr>
              <w:t>No.</w:t>
            </w:r>
          </w:p>
        </w:tc>
        <w:tc>
          <w:tcPr>
            <w:tcW w:w="6344" w:type="dxa"/>
            <w:tcBorders>
              <w:top w:val="single" w:sz="2" w:space="0" w:color="000000"/>
              <w:left w:val="single" w:sz="2" w:space="0" w:color="000000"/>
              <w:bottom w:val="single" w:sz="2" w:space="0" w:color="000000"/>
              <w:right w:val="single" w:sz="2" w:space="0" w:color="000000"/>
            </w:tcBorders>
            <w:vAlign w:val="center"/>
          </w:tcPr>
          <w:p w14:paraId="7D5F87BD" w14:textId="77777777" w:rsidR="00AB0469" w:rsidRDefault="007F5279">
            <w:pPr>
              <w:spacing w:after="0" w:line="259" w:lineRule="auto"/>
              <w:ind w:left="45" w:firstLine="0"/>
              <w:jc w:val="center"/>
            </w:pPr>
            <w:r>
              <w:rPr>
                <w:sz w:val="20"/>
              </w:rPr>
              <w:t>Description of Contract</w:t>
            </w:r>
          </w:p>
        </w:tc>
      </w:tr>
      <w:tr w:rsidR="00AB0469" w14:paraId="6663565F" w14:textId="77777777">
        <w:trPr>
          <w:trHeight w:val="248"/>
        </w:trPr>
        <w:tc>
          <w:tcPr>
            <w:tcW w:w="1104" w:type="dxa"/>
            <w:tcBorders>
              <w:top w:val="single" w:sz="2" w:space="0" w:color="000000"/>
              <w:left w:val="single" w:sz="2" w:space="0" w:color="000000"/>
              <w:bottom w:val="single" w:sz="2" w:space="0" w:color="000000"/>
              <w:right w:val="single" w:sz="2" w:space="0" w:color="000000"/>
            </w:tcBorders>
          </w:tcPr>
          <w:p w14:paraId="48E9718D" w14:textId="77777777" w:rsidR="00AB0469" w:rsidRDefault="007F5279">
            <w:pPr>
              <w:spacing w:after="0" w:line="259" w:lineRule="auto"/>
              <w:ind w:left="5" w:firstLine="0"/>
              <w:jc w:val="center"/>
            </w:pPr>
            <w:r>
              <w:rPr>
                <w:sz w:val="24"/>
              </w:rPr>
              <w:t>1.</w:t>
            </w:r>
          </w:p>
        </w:tc>
        <w:tc>
          <w:tcPr>
            <w:tcW w:w="6344" w:type="dxa"/>
            <w:tcBorders>
              <w:top w:val="single" w:sz="2" w:space="0" w:color="000000"/>
              <w:left w:val="single" w:sz="2" w:space="0" w:color="000000"/>
              <w:bottom w:val="single" w:sz="2" w:space="0" w:color="000000"/>
              <w:right w:val="single" w:sz="2" w:space="0" w:color="000000"/>
            </w:tcBorders>
          </w:tcPr>
          <w:p w14:paraId="3EB5FACD" w14:textId="77777777" w:rsidR="00AB0469" w:rsidRDefault="007F5279">
            <w:pPr>
              <w:tabs>
                <w:tab w:val="center" w:pos="2158"/>
              </w:tabs>
              <w:spacing w:after="0" w:line="259" w:lineRule="auto"/>
              <w:ind w:left="0" w:firstLine="0"/>
              <w:jc w:val="left"/>
            </w:pPr>
            <w:r>
              <w:rPr>
                <w:sz w:val="20"/>
              </w:rPr>
              <w:t xml:space="preserve">Gravity Sewer </w:t>
            </w:r>
            <w:r>
              <w:rPr>
                <w:sz w:val="20"/>
              </w:rPr>
              <w:tab/>
              <w:t>Study and Report</w:t>
            </w:r>
          </w:p>
        </w:tc>
      </w:tr>
      <w:tr w:rsidR="00AB0469" w14:paraId="04FA6B74" w14:textId="77777777">
        <w:trPr>
          <w:trHeight w:val="245"/>
        </w:trPr>
        <w:tc>
          <w:tcPr>
            <w:tcW w:w="1104" w:type="dxa"/>
            <w:tcBorders>
              <w:top w:val="single" w:sz="2" w:space="0" w:color="000000"/>
              <w:left w:val="single" w:sz="2" w:space="0" w:color="000000"/>
              <w:bottom w:val="single" w:sz="2" w:space="0" w:color="000000"/>
              <w:right w:val="single" w:sz="2" w:space="0" w:color="000000"/>
            </w:tcBorders>
          </w:tcPr>
          <w:p w14:paraId="0BF57ACB" w14:textId="77777777" w:rsidR="00AB0469" w:rsidRDefault="007F5279">
            <w:pPr>
              <w:spacing w:after="0" w:line="259" w:lineRule="auto"/>
              <w:ind w:left="0" w:right="10" w:firstLine="0"/>
              <w:jc w:val="center"/>
            </w:pPr>
            <w:r>
              <w:t>2.</w:t>
            </w:r>
          </w:p>
        </w:tc>
        <w:tc>
          <w:tcPr>
            <w:tcW w:w="6344" w:type="dxa"/>
            <w:tcBorders>
              <w:top w:val="single" w:sz="2" w:space="0" w:color="000000"/>
              <w:left w:val="single" w:sz="2" w:space="0" w:color="000000"/>
              <w:bottom w:val="single" w:sz="2" w:space="0" w:color="000000"/>
              <w:right w:val="single" w:sz="2" w:space="0" w:color="000000"/>
            </w:tcBorders>
          </w:tcPr>
          <w:p w14:paraId="63747005" w14:textId="77777777" w:rsidR="00AB0469" w:rsidRDefault="007F5279">
            <w:pPr>
              <w:spacing w:after="0" w:line="259" w:lineRule="auto"/>
              <w:ind w:left="5" w:firstLine="0"/>
              <w:jc w:val="left"/>
            </w:pPr>
            <w:r>
              <w:rPr>
                <w:sz w:val="20"/>
              </w:rPr>
              <w:t>Emergency Standby Generators w/ ATS</w:t>
            </w:r>
          </w:p>
        </w:tc>
      </w:tr>
    </w:tbl>
    <w:p w14:paraId="15F8E961" w14:textId="77777777" w:rsidR="00AB0469" w:rsidRDefault="007F5279">
      <w:pPr>
        <w:spacing w:after="214"/>
        <w:ind w:left="58"/>
      </w:pPr>
      <w:r>
        <w:t>The Project has an expected duration of:</w:t>
      </w:r>
    </w:p>
    <w:p w14:paraId="091DF679" w14:textId="77777777" w:rsidR="00AB0469" w:rsidRDefault="007F5279">
      <w:pPr>
        <w:spacing w:after="179"/>
        <w:ind w:left="1454"/>
      </w:pPr>
      <w:r>
        <w:t>Contract 1: 365 days</w:t>
      </w:r>
    </w:p>
    <w:p w14:paraId="5D853754" w14:textId="77777777" w:rsidR="00AB0469" w:rsidRDefault="007F5279">
      <w:pPr>
        <w:spacing w:after="1090"/>
        <w:ind w:left="1445"/>
      </w:pPr>
      <w:r>
        <w:t>Contract 2: 180 days</w:t>
      </w:r>
    </w:p>
    <w:p w14:paraId="5AA87445" w14:textId="77777777" w:rsidR="00AB0469" w:rsidRDefault="007F5279">
      <w:pPr>
        <w:spacing w:after="1" w:line="259" w:lineRule="auto"/>
        <w:ind w:left="-48" w:firstLine="0"/>
        <w:jc w:val="left"/>
      </w:pPr>
      <w:r>
        <w:rPr>
          <w:noProof/>
        </w:rPr>
        <mc:AlternateContent>
          <mc:Choice Requires="wpg">
            <w:drawing>
              <wp:inline distT="0" distB="0" distL="0" distR="0" wp14:anchorId="0AB3018F" wp14:editId="104F8EEA">
                <wp:extent cx="5833872" cy="15243"/>
                <wp:effectExtent l="0" t="0" r="0" b="0"/>
                <wp:docPr id="10579" name="Group 10579"/>
                <wp:cNvGraphicFramePr/>
                <a:graphic xmlns:a="http://schemas.openxmlformats.org/drawingml/2006/main">
                  <a:graphicData uri="http://schemas.microsoft.com/office/word/2010/wordprocessingGroup">
                    <wpg:wgp>
                      <wpg:cNvGrpSpPr/>
                      <wpg:grpSpPr>
                        <a:xfrm>
                          <a:off x="0" y="0"/>
                          <a:ext cx="5833872" cy="15243"/>
                          <a:chOff x="0" y="0"/>
                          <a:chExt cx="5833872" cy="15243"/>
                        </a:xfrm>
                      </wpg:grpSpPr>
                      <wps:wsp>
                        <wps:cNvPr id="10578" name="Shape 10578"/>
                        <wps:cNvSpPr/>
                        <wps:spPr>
                          <a:xfrm>
                            <a:off x="0" y="0"/>
                            <a:ext cx="5833872" cy="15243"/>
                          </a:xfrm>
                          <a:custGeom>
                            <a:avLst/>
                            <a:gdLst/>
                            <a:ahLst/>
                            <a:cxnLst/>
                            <a:rect l="0" t="0" r="0" b="0"/>
                            <a:pathLst>
                              <a:path w="5833872" h="15243">
                                <a:moveTo>
                                  <a:pt x="0" y="7622"/>
                                </a:moveTo>
                                <a:lnTo>
                                  <a:pt x="5833872" y="7622"/>
                                </a:lnTo>
                              </a:path>
                            </a:pathLst>
                          </a:custGeom>
                          <a:ln w="1524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579" style="width:459.36pt;height:1.20026pt;mso-position-horizontal-relative:char;mso-position-vertical-relative:line" coordsize="58338,152">
                <v:shape id="Shape 10578" style="position:absolute;width:58338;height:152;left:0;top:0;" coordsize="5833872,15243" path="m0,7622l5833872,7622">
                  <v:stroke weight="1.20026pt" endcap="flat" joinstyle="miter" miterlimit="1" on="true" color="#000000"/>
                  <v:fill on="false" color="#000000"/>
                </v:shape>
              </v:group>
            </w:pict>
          </mc:Fallback>
        </mc:AlternateContent>
      </w:r>
    </w:p>
    <w:p w14:paraId="0B816458" w14:textId="77777777" w:rsidR="00AB0469" w:rsidRDefault="007F5279">
      <w:pPr>
        <w:spacing w:after="0" w:line="259" w:lineRule="auto"/>
        <w:ind w:left="10" w:right="53" w:hanging="10"/>
        <w:jc w:val="center"/>
      </w:pPr>
      <w:r>
        <w:rPr>
          <w:sz w:val="16"/>
        </w:rPr>
        <w:lastRenderedPageBreak/>
        <w:t>EJCDC</w:t>
      </w:r>
      <w:r>
        <w:rPr>
          <w:sz w:val="16"/>
          <w:vertAlign w:val="superscript"/>
        </w:rPr>
        <w:t xml:space="preserve">Ø </w:t>
      </w:r>
      <w:r>
        <w:rPr>
          <w:sz w:val="16"/>
        </w:rPr>
        <w:t>C-111, Advertisement for Bids for Construction Contracts.</w:t>
      </w:r>
    </w:p>
    <w:p w14:paraId="7DF33F4F" w14:textId="77777777" w:rsidR="00AB0469" w:rsidRDefault="007F5279">
      <w:pPr>
        <w:spacing w:after="272" w:line="216" w:lineRule="auto"/>
        <w:ind w:left="2347" w:right="1032" w:hanging="1152"/>
        <w:jc w:val="left"/>
      </w:pPr>
      <w:proofErr w:type="spellStart"/>
      <w:r>
        <w:rPr>
          <w:sz w:val="16"/>
        </w:rPr>
        <w:t>Cowrøt</w:t>
      </w:r>
      <w:proofErr w:type="spellEnd"/>
      <w:r>
        <w:rPr>
          <w:sz w:val="16"/>
        </w:rPr>
        <w:t xml:space="preserve"> 0 2013 National </w:t>
      </w:r>
      <w:proofErr w:type="spellStart"/>
      <w:r>
        <w:rPr>
          <w:sz w:val="16"/>
        </w:rPr>
        <w:t>Sodety</w:t>
      </w:r>
      <w:proofErr w:type="spellEnd"/>
      <w:r>
        <w:rPr>
          <w:sz w:val="16"/>
        </w:rPr>
        <w:t xml:space="preserve"> of Professional Engineers, American Council of Engineering Companies, and American Society of Civil Engineers. All rights reserved. Page I</w:t>
      </w:r>
    </w:p>
    <w:p w14:paraId="77D0B481" w14:textId="77777777" w:rsidR="00AB0469" w:rsidRDefault="007F5279">
      <w:pPr>
        <w:spacing w:after="154"/>
        <w:ind w:left="158"/>
      </w:pPr>
      <w:r>
        <w:t>Bidders shall note that the following apply to both Contract 1 and Contract 2:</w:t>
      </w:r>
    </w:p>
    <w:p w14:paraId="1CA9ADFB" w14:textId="77777777" w:rsidR="00AB0469" w:rsidRDefault="007F5279">
      <w:pPr>
        <w:spacing w:after="119"/>
        <w:ind w:left="907" w:right="168"/>
      </w:pPr>
      <w:r>
        <w:t xml:space="preserve">This project is being funded by a loan from the </w:t>
      </w:r>
      <w:r>
        <w:rPr>
          <w:u w:val="single" w:color="000000"/>
        </w:rPr>
        <w:t>State Revolving Fund</w:t>
      </w:r>
      <w:r>
        <w:t xml:space="preserve"> and all bidders must comply with all applicable state and federal requirements identified in the bid docume</w:t>
      </w:r>
      <w:r>
        <w:t>nts — including "</w:t>
      </w:r>
      <w:r>
        <w:rPr>
          <w:u w:val="single" w:color="000000"/>
        </w:rPr>
        <w:t>Davis-Bacon</w:t>
      </w:r>
      <w:r>
        <w:t>" and "</w:t>
      </w:r>
      <w:r>
        <w:rPr>
          <w:u w:val="single" w:color="000000"/>
        </w:rPr>
        <w:t>American Iron and Steel</w:t>
      </w:r>
      <w:r>
        <w:t>" provisions.</w:t>
      </w:r>
    </w:p>
    <w:p w14:paraId="34842610" w14:textId="77777777" w:rsidR="00AB0469" w:rsidRDefault="007F5279">
      <w:pPr>
        <w:spacing w:after="111"/>
        <w:ind w:left="898"/>
      </w:pPr>
      <w:r>
        <w:t xml:space="preserve">Bidders must implement procedures that ensure that </w:t>
      </w:r>
      <w:r>
        <w:rPr>
          <w:u w:val="single" w:color="000000"/>
        </w:rPr>
        <w:t>EEO/DBE</w:t>
      </w:r>
      <w:r>
        <w:t xml:space="preserve"> firms are given opportunities for meaningful participation if sub-contracts are awarded.</w:t>
      </w:r>
    </w:p>
    <w:p w14:paraId="4CB51046" w14:textId="77777777" w:rsidR="00AB0469" w:rsidRDefault="007F5279">
      <w:pPr>
        <w:spacing w:after="45"/>
        <w:ind w:left="552"/>
      </w:pPr>
      <w:r>
        <w:rPr>
          <w:noProof/>
        </w:rPr>
        <w:drawing>
          <wp:inline distT="0" distB="0" distL="0" distR="0" wp14:anchorId="572A50D1" wp14:editId="0D6B4968">
            <wp:extent cx="88392" cy="94494"/>
            <wp:effectExtent l="0" t="0" r="0" b="0"/>
            <wp:docPr id="4974" name="Picture 4974"/>
            <wp:cNvGraphicFramePr/>
            <a:graphic xmlns:a="http://schemas.openxmlformats.org/drawingml/2006/main">
              <a:graphicData uri="http://schemas.openxmlformats.org/drawingml/2006/picture">
                <pic:pic xmlns:pic="http://schemas.openxmlformats.org/drawingml/2006/picture">
                  <pic:nvPicPr>
                    <pic:cNvPr id="4974" name="Picture 4974"/>
                    <pic:cNvPicPr/>
                  </pic:nvPicPr>
                  <pic:blipFill>
                    <a:blip r:embed="rId5"/>
                    <a:stretch>
                      <a:fillRect/>
                    </a:stretch>
                  </pic:blipFill>
                  <pic:spPr>
                    <a:xfrm>
                      <a:off x="0" y="0"/>
                      <a:ext cx="88392" cy="94494"/>
                    </a:xfrm>
                    <a:prstGeom prst="rect">
                      <a:avLst/>
                    </a:prstGeom>
                  </pic:spPr>
                </pic:pic>
              </a:graphicData>
            </a:graphic>
          </wp:inline>
        </w:drawing>
      </w:r>
      <w:r>
        <w:t xml:space="preserve"> Bidders must provide a 5% Bid Bond with their bid.</w:t>
      </w:r>
    </w:p>
    <w:p w14:paraId="593E2CD0" w14:textId="77777777" w:rsidR="00AB0469" w:rsidRDefault="007F5279">
      <w:pPr>
        <w:spacing w:after="106"/>
        <w:ind w:left="158"/>
      </w:pPr>
      <w:r>
        <w:t>Obtaining the Bidding Documents</w:t>
      </w:r>
    </w:p>
    <w:p w14:paraId="414A0A2B" w14:textId="77777777" w:rsidR="00AB0469" w:rsidRDefault="007F5279">
      <w:pPr>
        <w:spacing w:after="130"/>
        <w:ind w:left="158"/>
      </w:pPr>
      <w:r>
        <w:t>Neither Owner nor Engineer will be responsible for Bidding Documents, including a</w:t>
      </w:r>
      <w:r>
        <w:t>ddenda, if any, obtained from sources other than the designated Bidding Office.</w:t>
      </w:r>
    </w:p>
    <w:p w14:paraId="5074EEF5" w14:textId="77777777" w:rsidR="00AB0469" w:rsidRDefault="007F5279">
      <w:pPr>
        <w:spacing w:after="99"/>
        <w:ind w:left="158"/>
      </w:pPr>
      <w:r>
        <w:t>The Issuing Office for the Bidding Documents is:</w:t>
      </w:r>
    </w:p>
    <w:p w14:paraId="310016F4" w14:textId="77777777" w:rsidR="00AB0469" w:rsidRDefault="007F5279">
      <w:pPr>
        <w:ind w:left="518"/>
      </w:pPr>
      <w:proofErr w:type="spellStart"/>
      <w:r>
        <w:t>Kellahan</w:t>
      </w:r>
      <w:proofErr w:type="spellEnd"/>
      <w:r>
        <w:t xml:space="preserve"> Brothers Engineering</w:t>
      </w:r>
    </w:p>
    <w:p w14:paraId="6B7D6255" w14:textId="77777777" w:rsidR="00AB0469" w:rsidRDefault="007F5279">
      <w:pPr>
        <w:ind w:left="523"/>
      </w:pPr>
      <w:r>
        <w:t>5711 Thurgood Marshall Hwy</w:t>
      </w:r>
    </w:p>
    <w:p w14:paraId="443252F6" w14:textId="77777777" w:rsidR="00AB0469" w:rsidRDefault="007F5279">
      <w:pPr>
        <w:pStyle w:val="Heading1"/>
        <w:ind w:left="528" w:right="595"/>
      </w:pPr>
      <w:r>
        <w:t>Kingstree, SC 29556</w:t>
      </w:r>
    </w:p>
    <w:p w14:paraId="59A5796A" w14:textId="77777777" w:rsidR="00AB0469" w:rsidRDefault="007F5279">
      <w:pPr>
        <w:spacing w:after="89"/>
        <w:ind w:left="514"/>
      </w:pPr>
      <w:r>
        <w:t>Email: myron@kellahanbros.com</w:t>
      </w:r>
    </w:p>
    <w:p w14:paraId="3C2FAD60" w14:textId="77777777" w:rsidR="00AB0469" w:rsidRDefault="007F5279">
      <w:pPr>
        <w:ind w:left="158"/>
      </w:pPr>
      <w:r>
        <w:t xml:space="preserve">Prospective Bidders </w:t>
      </w:r>
      <w:r>
        <w:t>may obtain or examine the Bidding Documents at the Issuing Office on Monday through Friday between the hours of 9:00 am- 3:30 pm and may obtain copies of the Bidding</w:t>
      </w:r>
    </w:p>
    <w:p w14:paraId="0C1B1BDD" w14:textId="77777777" w:rsidR="00AB0469" w:rsidRDefault="007F5279">
      <w:pPr>
        <w:spacing w:after="82"/>
        <w:ind w:left="158" w:right="173"/>
      </w:pPr>
      <w:r>
        <w:t>Documents from the Issuing Office as described below. Partial sets of Bidding Documents wi</w:t>
      </w:r>
      <w:r>
        <w:t>ll not be available from the Issuing Office. Neither Owner nor Engineer will be responsible for full or partial sets of Bidding Documents, including addenda, if any, obtained from sources other than the Issuing Office.</w:t>
      </w:r>
    </w:p>
    <w:p w14:paraId="0708948D" w14:textId="77777777" w:rsidR="00AB0469" w:rsidRDefault="007F5279">
      <w:pPr>
        <w:ind w:left="158"/>
      </w:pPr>
      <w:r>
        <w:t>Bidding Documents may be purchased fr</w:t>
      </w:r>
      <w:r>
        <w:t>om the Issuing Office during the hours indicated above. Cost does not include shipping charges. Upon Issuing Office's receipt of payment, printed Bidding Documents or electronic documents on USB disk will be sent via the prospective Bidder's delivery servi</w:t>
      </w:r>
      <w:r>
        <w:t>ce. The shipping charge amount will depend on the shipping method chosen. Bidding Documents are available for purchase in the following formats:</w:t>
      </w:r>
    </w:p>
    <w:tbl>
      <w:tblPr>
        <w:tblStyle w:val="TableGrid"/>
        <w:tblW w:w="9093" w:type="dxa"/>
        <w:tblInd w:w="-16" w:type="dxa"/>
        <w:tblCellMar>
          <w:top w:w="26" w:type="dxa"/>
          <w:left w:w="103" w:type="dxa"/>
          <w:bottom w:w="0" w:type="dxa"/>
          <w:right w:w="115" w:type="dxa"/>
        </w:tblCellMar>
        <w:tblLook w:val="04A0" w:firstRow="1" w:lastRow="0" w:firstColumn="1" w:lastColumn="0" w:noHBand="0" w:noVBand="1"/>
      </w:tblPr>
      <w:tblGrid>
        <w:gridCol w:w="7663"/>
        <w:gridCol w:w="1430"/>
      </w:tblGrid>
      <w:tr w:rsidR="00AB0469" w14:paraId="4212A682" w14:textId="77777777">
        <w:trPr>
          <w:trHeight w:val="240"/>
        </w:trPr>
        <w:tc>
          <w:tcPr>
            <w:tcW w:w="7663" w:type="dxa"/>
            <w:tcBorders>
              <w:top w:val="single" w:sz="2" w:space="0" w:color="000000"/>
              <w:left w:val="single" w:sz="2" w:space="0" w:color="000000"/>
              <w:bottom w:val="single" w:sz="2" w:space="0" w:color="000000"/>
              <w:right w:val="single" w:sz="2" w:space="0" w:color="000000"/>
            </w:tcBorders>
          </w:tcPr>
          <w:p w14:paraId="6F379F97" w14:textId="77777777" w:rsidR="00AB0469" w:rsidRDefault="007F5279">
            <w:pPr>
              <w:spacing w:after="0" w:line="259" w:lineRule="auto"/>
              <w:ind w:left="38" w:firstLine="0"/>
              <w:jc w:val="center"/>
            </w:pPr>
            <w:r>
              <w:rPr>
                <w:sz w:val="20"/>
              </w:rPr>
              <w:t>Format</w:t>
            </w:r>
          </w:p>
        </w:tc>
        <w:tc>
          <w:tcPr>
            <w:tcW w:w="1430" w:type="dxa"/>
            <w:tcBorders>
              <w:top w:val="single" w:sz="2" w:space="0" w:color="000000"/>
              <w:left w:val="single" w:sz="2" w:space="0" w:color="000000"/>
              <w:bottom w:val="single" w:sz="2" w:space="0" w:color="000000"/>
              <w:right w:val="single" w:sz="2" w:space="0" w:color="000000"/>
            </w:tcBorders>
          </w:tcPr>
          <w:p w14:paraId="43F250CD" w14:textId="77777777" w:rsidR="00AB0469" w:rsidRDefault="007F5279">
            <w:pPr>
              <w:spacing w:after="0" w:line="259" w:lineRule="auto"/>
              <w:ind w:left="13" w:firstLine="0"/>
              <w:jc w:val="center"/>
            </w:pPr>
            <w:r>
              <w:t>Cost</w:t>
            </w:r>
          </w:p>
        </w:tc>
      </w:tr>
      <w:tr w:rsidR="00AB0469" w14:paraId="6FFA7284" w14:textId="77777777">
        <w:trPr>
          <w:trHeight w:val="247"/>
        </w:trPr>
        <w:tc>
          <w:tcPr>
            <w:tcW w:w="7663" w:type="dxa"/>
            <w:tcBorders>
              <w:top w:val="single" w:sz="2" w:space="0" w:color="000000"/>
              <w:left w:val="single" w:sz="2" w:space="0" w:color="000000"/>
              <w:bottom w:val="single" w:sz="2" w:space="0" w:color="000000"/>
              <w:right w:val="single" w:sz="2" w:space="0" w:color="000000"/>
            </w:tcBorders>
          </w:tcPr>
          <w:p w14:paraId="608AA17E" w14:textId="77777777" w:rsidR="00AB0469" w:rsidRDefault="007F5279">
            <w:pPr>
              <w:spacing w:after="0" w:line="259" w:lineRule="auto"/>
              <w:ind w:left="10" w:firstLine="0"/>
              <w:jc w:val="left"/>
            </w:pPr>
            <w:r>
              <w:rPr>
                <w:sz w:val="20"/>
              </w:rPr>
              <w:t>Bidding Documents (including Full-Size Drawings)</w:t>
            </w:r>
          </w:p>
        </w:tc>
        <w:tc>
          <w:tcPr>
            <w:tcW w:w="1430" w:type="dxa"/>
            <w:tcBorders>
              <w:top w:val="single" w:sz="2" w:space="0" w:color="000000"/>
              <w:left w:val="single" w:sz="2" w:space="0" w:color="000000"/>
              <w:bottom w:val="single" w:sz="2" w:space="0" w:color="000000"/>
              <w:right w:val="single" w:sz="2" w:space="0" w:color="000000"/>
            </w:tcBorders>
          </w:tcPr>
          <w:p w14:paraId="41623790" w14:textId="77777777" w:rsidR="00AB0469" w:rsidRDefault="007F5279">
            <w:pPr>
              <w:spacing w:after="0" w:line="259" w:lineRule="auto"/>
              <w:ind w:left="478" w:firstLine="0"/>
              <w:jc w:val="left"/>
            </w:pPr>
            <w:r>
              <w:rPr>
                <w:sz w:val="20"/>
              </w:rPr>
              <w:t>$300.00</w:t>
            </w:r>
          </w:p>
        </w:tc>
      </w:tr>
      <w:tr w:rsidR="00AB0469" w14:paraId="43A2CAA7" w14:textId="77777777">
        <w:trPr>
          <w:trHeight w:val="250"/>
        </w:trPr>
        <w:tc>
          <w:tcPr>
            <w:tcW w:w="7663" w:type="dxa"/>
            <w:tcBorders>
              <w:top w:val="single" w:sz="2" w:space="0" w:color="000000"/>
              <w:left w:val="single" w:sz="2" w:space="0" w:color="000000"/>
              <w:bottom w:val="single" w:sz="2" w:space="0" w:color="000000"/>
              <w:right w:val="single" w:sz="2" w:space="0" w:color="000000"/>
            </w:tcBorders>
          </w:tcPr>
          <w:p w14:paraId="76081EAC" w14:textId="77777777" w:rsidR="00AB0469" w:rsidRDefault="007F5279">
            <w:pPr>
              <w:spacing w:after="0" w:line="259" w:lineRule="auto"/>
              <w:ind w:left="5" w:firstLine="0"/>
              <w:jc w:val="left"/>
            </w:pPr>
            <w:r>
              <w:rPr>
                <w:sz w:val="20"/>
              </w:rPr>
              <w:t>Bidding Documents (including Half-Size Drawings)</w:t>
            </w:r>
          </w:p>
        </w:tc>
        <w:tc>
          <w:tcPr>
            <w:tcW w:w="1430" w:type="dxa"/>
            <w:tcBorders>
              <w:top w:val="single" w:sz="2" w:space="0" w:color="000000"/>
              <w:left w:val="single" w:sz="2" w:space="0" w:color="000000"/>
              <w:bottom w:val="single" w:sz="2" w:space="0" w:color="000000"/>
              <w:right w:val="single" w:sz="2" w:space="0" w:color="000000"/>
            </w:tcBorders>
          </w:tcPr>
          <w:p w14:paraId="308D9BE7" w14:textId="77777777" w:rsidR="00AB0469" w:rsidRDefault="007F5279">
            <w:pPr>
              <w:spacing w:after="0" w:line="259" w:lineRule="auto"/>
              <w:ind w:left="579" w:firstLine="0"/>
              <w:jc w:val="left"/>
            </w:pPr>
            <w:r>
              <w:rPr>
                <w:sz w:val="20"/>
              </w:rPr>
              <w:t>200.00</w:t>
            </w:r>
          </w:p>
        </w:tc>
      </w:tr>
      <w:tr w:rsidR="00AB0469" w14:paraId="6908F7EE" w14:textId="77777777">
        <w:trPr>
          <w:trHeight w:val="245"/>
        </w:trPr>
        <w:tc>
          <w:tcPr>
            <w:tcW w:w="7663" w:type="dxa"/>
            <w:tcBorders>
              <w:top w:val="single" w:sz="2" w:space="0" w:color="000000"/>
              <w:left w:val="single" w:sz="2" w:space="0" w:color="000000"/>
              <w:bottom w:val="single" w:sz="2" w:space="0" w:color="000000"/>
              <w:right w:val="single" w:sz="2" w:space="0" w:color="000000"/>
            </w:tcBorders>
          </w:tcPr>
          <w:p w14:paraId="57454B6C" w14:textId="77777777" w:rsidR="00AB0469" w:rsidRDefault="007F5279">
            <w:pPr>
              <w:spacing w:after="0" w:line="259" w:lineRule="auto"/>
              <w:ind w:left="0" w:firstLine="0"/>
              <w:jc w:val="left"/>
            </w:pPr>
            <w:r>
              <w:rPr>
                <w:sz w:val="20"/>
              </w:rPr>
              <w:t xml:space="preserve">Electronic download of </w:t>
            </w:r>
            <w:proofErr w:type="spellStart"/>
            <w:r>
              <w:rPr>
                <w:sz w:val="20"/>
              </w:rPr>
              <w:t>Biddin</w:t>
            </w:r>
            <w:proofErr w:type="spellEnd"/>
            <w:r>
              <w:rPr>
                <w:sz w:val="20"/>
              </w:rPr>
              <w:t xml:space="preserve"> Documents from shared file</w:t>
            </w:r>
          </w:p>
        </w:tc>
        <w:tc>
          <w:tcPr>
            <w:tcW w:w="1430" w:type="dxa"/>
            <w:tcBorders>
              <w:top w:val="single" w:sz="2" w:space="0" w:color="000000"/>
              <w:left w:val="single" w:sz="2" w:space="0" w:color="000000"/>
              <w:bottom w:val="single" w:sz="2" w:space="0" w:color="000000"/>
              <w:right w:val="single" w:sz="2" w:space="0" w:color="000000"/>
            </w:tcBorders>
          </w:tcPr>
          <w:p w14:paraId="186B5783" w14:textId="77777777" w:rsidR="00AB0469" w:rsidRDefault="007F5279">
            <w:pPr>
              <w:spacing w:after="0" w:line="259" w:lineRule="auto"/>
              <w:ind w:left="574" w:firstLine="0"/>
              <w:jc w:val="left"/>
            </w:pPr>
            <w:r>
              <w:rPr>
                <w:sz w:val="20"/>
              </w:rPr>
              <w:t>$50.00</w:t>
            </w:r>
          </w:p>
        </w:tc>
      </w:tr>
    </w:tbl>
    <w:p w14:paraId="181C6045" w14:textId="77777777" w:rsidR="00AB0469" w:rsidRDefault="007F5279">
      <w:pPr>
        <w:spacing w:after="114"/>
        <w:ind w:left="62"/>
      </w:pPr>
      <w:r>
        <w:t>Pre-bid Conference- None</w:t>
      </w:r>
    </w:p>
    <w:p w14:paraId="13A605BF" w14:textId="77777777" w:rsidR="00AB0469" w:rsidRDefault="007F5279">
      <w:pPr>
        <w:spacing w:after="55"/>
        <w:ind w:left="53"/>
      </w:pPr>
      <w:r>
        <w:t>Instructions to Bidders.</w:t>
      </w:r>
    </w:p>
    <w:p w14:paraId="63371939" w14:textId="77777777" w:rsidR="00AB0469" w:rsidRDefault="007F5279">
      <w:pPr>
        <w:spacing w:after="131"/>
        <w:ind w:left="43"/>
      </w:pPr>
      <w:r>
        <w:t>For all further requirements regarding bid submittal, qualifications, procedures, and contract award, refer to the Instructions to Bidders that are included in the Bidding Documents.</w:t>
      </w:r>
    </w:p>
    <w:p w14:paraId="53CF7952" w14:textId="77777777" w:rsidR="00AB0469" w:rsidRDefault="007F5279">
      <w:pPr>
        <w:spacing w:after="53" w:line="259" w:lineRule="auto"/>
        <w:ind w:left="19" w:right="595" w:hanging="10"/>
        <w:jc w:val="left"/>
      </w:pPr>
      <w:r>
        <w:rPr>
          <w:sz w:val="24"/>
        </w:rPr>
        <w:t>This Advertisement is issued by:</w:t>
      </w:r>
    </w:p>
    <w:p w14:paraId="596E21EB" w14:textId="77777777" w:rsidR="00AB0469" w:rsidRDefault="007F5279">
      <w:pPr>
        <w:spacing w:after="41"/>
        <w:ind w:left="24" w:right="595"/>
      </w:pPr>
      <w:r>
        <w:t>Owner: The Town of Chesterfield</w:t>
      </w:r>
    </w:p>
    <w:p w14:paraId="71181A1F" w14:textId="77777777" w:rsidR="00AB0469" w:rsidRDefault="007F5279">
      <w:pPr>
        <w:pStyle w:val="Heading1"/>
        <w:tabs>
          <w:tab w:val="center" w:pos="1164"/>
        </w:tabs>
        <w:ind w:left="0" w:firstLine="0"/>
      </w:pPr>
      <w:r>
        <w:rPr>
          <w:noProof/>
        </w:rPr>
        <w:drawing>
          <wp:anchor distT="0" distB="0" distL="114300" distR="114300" simplePos="0" relativeHeight="251658240" behindDoc="0" locked="0" layoutInCell="1" allowOverlap="0" wp14:anchorId="67EBC856" wp14:editId="5B7175DD">
            <wp:simplePos x="0" y="0"/>
            <wp:positionH relativeFrom="column">
              <wp:posOffset>3115056</wp:posOffset>
            </wp:positionH>
            <wp:positionV relativeFrom="paragraph">
              <wp:posOffset>-93815</wp:posOffset>
            </wp:positionV>
            <wp:extent cx="2313433" cy="579157"/>
            <wp:effectExtent l="0" t="0" r="0" b="0"/>
            <wp:wrapSquare wrapText="bothSides"/>
            <wp:docPr id="4999" name="Picture 4999"/>
            <wp:cNvGraphicFramePr/>
            <a:graphic xmlns:a="http://schemas.openxmlformats.org/drawingml/2006/main">
              <a:graphicData uri="http://schemas.openxmlformats.org/drawingml/2006/picture">
                <pic:pic xmlns:pic="http://schemas.openxmlformats.org/drawingml/2006/picture">
                  <pic:nvPicPr>
                    <pic:cNvPr id="4999" name="Picture 4999"/>
                    <pic:cNvPicPr/>
                  </pic:nvPicPr>
                  <pic:blipFill>
                    <a:blip r:embed="rId6"/>
                    <a:stretch>
                      <a:fillRect/>
                    </a:stretch>
                  </pic:blipFill>
                  <pic:spPr>
                    <a:xfrm>
                      <a:off x="0" y="0"/>
                      <a:ext cx="2313433" cy="579157"/>
                    </a:xfrm>
                    <a:prstGeom prst="rect">
                      <a:avLst/>
                    </a:prstGeom>
                  </pic:spPr>
                </pic:pic>
              </a:graphicData>
            </a:graphic>
          </wp:anchor>
        </w:drawing>
      </w:r>
      <w:r>
        <w:t>By:</w:t>
      </w:r>
      <w:r>
        <w:tab/>
        <w:t>Bill Taylor</w:t>
      </w:r>
    </w:p>
    <w:p w14:paraId="44AF0ABA" w14:textId="77777777" w:rsidR="00AB0469" w:rsidRDefault="007F5279">
      <w:pPr>
        <w:ind w:left="5" w:right="595"/>
      </w:pPr>
      <w:r>
        <w:t>Title: Administrator</w:t>
      </w:r>
    </w:p>
    <w:p w14:paraId="0A3B57F7" w14:textId="77777777" w:rsidR="00AB0469" w:rsidRDefault="007F5279">
      <w:pPr>
        <w:spacing w:after="0" w:line="259" w:lineRule="auto"/>
        <w:ind w:left="-5" w:right="595" w:hanging="10"/>
        <w:jc w:val="left"/>
      </w:pPr>
      <w:r>
        <w:rPr>
          <w:sz w:val="24"/>
        </w:rPr>
        <w:t>(843) 623-2131</w:t>
      </w:r>
    </w:p>
    <w:p w14:paraId="21AA62C4" w14:textId="77777777" w:rsidR="00AB0469" w:rsidRDefault="007F5279">
      <w:pPr>
        <w:spacing w:after="0" w:line="259" w:lineRule="auto"/>
        <w:ind w:left="4920" w:right="595" w:hanging="10"/>
        <w:jc w:val="left"/>
      </w:pPr>
      <w:r>
        <w:rPr>
          <w:sz w:val="24"/>
        </w:rPr>
        <w:t>Mr. Bill Taylor, Administrator</w:t>
      </w:r>
    </w:p>
    <w:p w14:paraId="209BD059" w14:textId="77777777" w:rsidR="00AB0469" w:rsidRDefault="007F5279">
      <w:pPr>
        <w:spacing w:after="484" w:line="265" w:lineRule="auto"/>
        <w:ind w:left="2669" w:hanging="10"/>
        <w:jc w:val="center"/>
      </w:pPr>
      <w:r>
        <w:rPr>
          <w:sz w:val="24"/>
        </w:rPr>
        <w:lastRenderedPageBreak/>
        <w:t>Town of Chesterfield</w:t>
      </w:r>
    </w:p>
    <w:p w14:paraId="1494A354" w14:textId="77777777" w:rsidR="00AB0469" w:rsidRDefault="007F5279">
      <w:pPr>
        <w:pStyle w:val="Heading1"/>
        <w:ind w:left="0" w:right="82" w:firstLine="0"/>
        <w:jc w:val="center"/>
      </w:pPr>
      <w:r>
        <w:rPr>
          <w:sz w:val="22"/>
        </w:rPr>
        <w:t>+ + END OF ADVERTISEMENT FOR BIDS + +</w:t>
      </w:r>
    </w:p>
    <w:p w14:paraId="254A7B73" w14:textId="77777777" w:rsidR="00AB0469" w:rsidRDefault="007F5279">
      <w:pPr>
        <w:spacing w:after="20" w:line="259" w:lineRule="auto"/>
        <w:ind w:left="-72" w:right="-5" w:firstLine="0"/>
        <w:jc w:val="left"/>
      </w:pPr>
      <w:r>
        <w:rPr>
          <w:noProof/>
        </w:rPr>
        <mc:AlternateContent>
          <mc:Choice Requires="wpg">
            <w:drawing>
              <wp:inline distT="0" distB="0" distL="0" distR="0" wp14:anchorId="2AC38B55" wp14:editId="2AC512DF">
                <wp:extent cx="5855208" cy="15241"/>
                <wp:effectExtent l="0" t="0" r="0" b="0"/>
                <wp:docPr id="10581" name="Group 10581"/>
                <wp:cNvGraphicFramePr/>
                <a:graphic xmlns:a="http://schemas.openxmlformats.org/drawingml/2006/main">
                  <a:graphicData uri="http://schemas.microsoft.com/office/word/2010/wordprocessingGroup">
                    <wpg:wgp>
                      <wpg:cNvGrpSpPr/>
                      <wpg:grpSpPr>
                        <a:xfrm>
                          <a:off x="0" y="0"/>
                          <a:ext cx="5855208" cy="15241"/>
                          <a:chOff x="0" y="0"/>
                          <a:chExt cx="5855208" cy="15241"/>
                        </a:xfrm>
                      </wpg:grpSpPr>
                      <wps:wsp>
                        <wps:cNvPr id="10580" name="Shape 10580"/>
                        <wps:cNvSpPr/>
                        <wps:spPr>
                          <a:xfrm>
                            <a:off x="0" y="0"/>
                            <a:ext cx="5855208" cy="15241"/>
                          </a:xfrm>
                          <a:custGeom>
                            <a:avLst/>
                            <a:gdLst/>
                            <a:ahLst/>
                            <a:cxnLst/>
                            <a:rect l="0" t="0" r="0" b="0"/>
                            <a:pathLst>
                              <a:path w="5855208" h="15241">
                                <a:moveTo>
                                  <a:pt x="0" y="7620"/>
                                </a:moveTo>
                                <a:lnTo>
                                  <a:pt x="5855208" y="7620"/>
                                </a:lnTo>
                              </a:path>
                            </a:pathLst>
                          </a:custGeom>
                          <a:ln w="1524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581" style="width:461.04pt;height:1.20007pt;mso-position-horizontal-relative:char;mso-position-vertical-relative:line" coordsize="58552,152">
                <v:shape id="Shape 10580" style="position:absolute;width:58552;height:152;left:0;top:0;" coordsize="5855208,15241" path="m0,7620l5855208,7620">
                  <v:stroke weight="1.20007pt" endcap="flat" joinstyle="miter" miterlimit="1" on="true" color="#000000"/>
                  <v:fill on="false" color="#000000"/>
                </v:shape>
              </v:group>
            </w:pict>
          </mc:Fallback>
        </mc:AlternateContent>
      </w:r>
    </w:p>
    <w:p w14:paraId="356EAB84" w14:textId="77777777" w:rsidR="00AB0469" w:rsidRDefault="007F5279">
      <w:pPr>
        <w:spacing w:after="0" w:line="259" w:lineRule="auto"/>
        <w:ind w:left="10" w:right="86" w:hanging="10"/>
        <w:jc w:val="center"/>
      </w:pPr>
      <w:r>
        <w:rPr>
          <w:sz w:val="16"/>
        </w:rPr>
        <w:t>EJCDC</w:t>
      </w:r>
      <w:r>
        <w:rPr>
          <w:sz w:val="16"/>
          <w:vertAlign w:val="superscript"/>
        </w:rPr>
        <w:t xml:space="preserve">Ø </w:t>
      </w:r>
      <w:r>
        <w:rPr>
          <w:sz w:val="16"/>
        </w:rPr>
        <w:t>C-111, Advertisement for Bids for Construction Contracts.</w:t>
      </w:r>
    </w:p>
    <w:p w14:paraId="71B6BE64" w14:textId="77777777" w:rsidR="00AB0469" w:rsidRDefault="007F5279">
      <w:pPr>
        <w:spacing w:after="272" w:line="216" w:lineRule="auto"/>
        <w:ind w:left="2347" w:right="1032" w:hanging="1152"/>
        <w:jc w:val="left"/>
      </w:pPr>
      <w:proofErr w:type="spellStart"/>
      <w:r>
        <w:rPr>
          <w:sz w:val="16"/>
        </w:rPr>
        <w:t>Copyrøt</w:t>
      </w:r>
      <w:proofErr w:type="spellEnd"/>
      <w:r>
        <w:rPr>
          <w:sz w:val="16"/>
        </w:rPr>
        <w:t xml:space="preserve">@ 2013 National </w:t>
      </w:r>
      <w:proofErr w:type="spellStart"/>
      <w:r>
        <w:rPr>
          <w:sz w:val="16"/>
        </w:rPr>
        <w:t>Sodety</w:t>
      </w:r>
      <w:proofErr w:type="spellEnd"/>
      <w:r>
        <w:rPr>
          <w:sz w:val="16"/>
        </w:rPr>
        <w:t xml:space="preserve"> of Professional Engineers, American Council of Engineering </w:t>
      </w:r>
      <w:proofErr w:type="spellStart"/>
      <w:r>
        <w:rPr>
          <w:sz w:val="16"/>
        </w:rPr>
        <w:t>Compa</w:t>
      </w:r>
      <w:proofErr w:type="spellEnd"/>
      <w:r>
        <w:rPr>
          <w:sz w:val="16"/>
        </w:rPr>
        <w:t xml:space="preserve"> </w:t>
      </w:r>
      <w:proofErr w:type="spellStart"/>
      <w:r>
        <w:rPr>
          <w:sz w:val="16"/>
        </w:rPr>
        <w:t>nies</w:t>
      </w:r>
      <w:proofErr w:type="spellEnd"/>
      <w:r>
        <w:rPr>
          <w:sz w:val="16"/>
        </w:rPr>
        <w:t>, and American Society of Civil Engineers. All rights reserved. Page 2</w:t>
      </w:r>
    </w:p>
    <w:sectPr w:rsidR="00AB0469">
      <w:pgSz w:w="11909" w:h="15360"/>
      <w:pgMar w:top="1080" w:right="1411" w:bottom="547" w:left="13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41B70"/>
    <w:multiLevelType w:val="hybridMultilevel"/>
    <w:tmpl w:val="B01A5648"/>
    <w:lvl w:ilvl="0" w:tplc="75D4AB6A">
      <w:start w:val="1"/>
      <w:numFmt w:val="lowerLetter"/>
      <w:lvlText w:val="%1."/>
      <w:lvlJc w:val="left"/>
      <w:pPr>
        <w:ind w:left="3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8803C0">
      <w:start w:val="1"/>
      <w:numFmt w:val="lowerLetter"/>
      <w:lvlText w:val="%2"/>
      <w:lvlJc w:val="left"/>
      <w:pPr>
        <w:ind w:left="39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BAC070">
      <w:start w:val="1"/>
      <w:numFmt w:val="lowerRoman"/>
      <w:lvlText w:val="%3"/>
      <w:lvlJc w:val="left"/>
      <w:pPr>
        <w:ind w:left="4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309104">
      <w:start w:val="1"/>
      <w:numFmt w:val="decimal"/>
      <w:lvlText w:val="%4"/>
      <w:lvlJc w:val="left"/>
      <w:pPr>
        <w:ind w:left="53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F14E668">
      <w:start w:val="1"/>
      <w:numFmt w:val="lowerLetter"/>
      <w:lvlText w:val="%5"/>
      <w:lvlJc w:val="left"/>
      <w:pPr>
        <w:ind w:left="60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44D404">
      <w:start w:val="1"/>
      <w:numFmt w:val="lowerRoman"/>
      <w:lvlText w:val="%6"/>
      <w:lvlJc w:val="left"/>
      <w:pPr>
        <w:ind w:left="67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684A256">
      <w:start w:val="1"/>
      <w:numFmt w:val="decimal"/>
      <w:lvlText w:val="%7"/>
      <w:lvlJc w:val="left"/>
      <w:pPr>
        <w:ind w:left="7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2C47C12">
      <w:start w:val="1"/>
      <w:numFmt w:val="lowerLetter"/>
      <w:lvlText w:val="%8"/>
      <w:lvlJc w:val="left"/>
      <w:pPr>
        <w:ind w:left="8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A4AE62C">
      <w:start w:val="1"/>
      <w:numFmt w:val="lowerRoman"/>
      <w:lvlText w:val="%9"/>
      <w:lvlJc w:val="left"/>
      <w:pPr>
        <w:ind w:left="8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993266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469"/>
    <w:rsid w:val="007F5279"/>
    <w:rsid w:val="00AB0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FBA7F"/>
  <w15:docId w15:val="{619932E3-4145-4AD2-98B9-8626C2C5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87" w:firstLine="4"/>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404" w:hanging="10"/>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3640</Characters>
  <Application>Microsoft Office Word</Application>
  <DocSecurity>0</DocSecurity>
  <Lines>30</Lines>
  <Paragraphs>8</Paragraphs>
  <ScaleCrop>false</ScaleCrop>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2022-07-25 15:27</dc:title>
  <dc:subject/>
  <dc:creator>Betty</dc:creator>
  <cp:keywords/>
  <cp:lastModifiedBy>Betty</cp:lastModifiedBy>
  <cp:revision>2</cp:revision>
  <dcterms:created xsi:type="dcterms:W3CDTF">2022-07-26T13:53:00Z</dcterms:created>
  <dcterms:modified xsi:type="dcterms:W3CDTF">2022-07-26T13:53:00Z</dcterms:modified>
</cp:coreProperties>
</file>